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630" w:firstLine="0"/>
        <w:rPr>
          <w:sz w:val="28"/>
          <w:szCs w:val="28"/>
        </w:rPr>
      </w:pPr>
      <w:r w:rsidDel="00000000" w:rsidR="00000000" w:rsidRPr="00000000">
        <w:rPr>
          <w:color w:val="cc0000"/>
          <w:sz w:val="62"/>
          <w:szCs w:val="6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3253504</wp:posOffset>
            </wp:positionH>
            <wp:positionV relativeFrom="page">
              <wp:posOffset>571500</wp:posOffset>
            </wp:positionV>
            <wp:extent cx="3923584" cy="511968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3584" cy="5119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cc0000"/>
          <w:sz w:val="62"/>
          <w:szCs w:val="62"/>
          <w:rtl w:val="0"/>
        </w:rPr>
        <w:t xml:space="preserve">Join Today 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-865281</wp:posOffset>
            </wp:positionH>
            <wp:positionV relativeFrom="paragraph">
              <wp:posOffset>172943</wp:posOffset>
            </wp:positionV>
            <wp:extent cx="3132232" cy="313223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2232" cy="31322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63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630" w:firstLine="0"/>
        <w:rPr>
          <w:color w:val="f1c232"/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color w:val="f1c232"/>
          <w:sz w:val="32"/>
          <w:szCs w:val="32"/>
          <w:rtl w:val="0"/>
        </w:rPr>
        <w:t xml:space="preserve">The Parents Unite campaign is a strategic, collaborative effort to increase and elevate Head Start parents taking action and raising their voices. Scan the QR code to sign up and be part of this national movement.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38761d"/>
          <w:sz w:val="32"/>
          <w:szCs w:val="32"/>
        </w:rPr>
      </w:pPr>
      <w:r w:rsidDel="00000000" w:rsidR="00000000" w:rsidRPr="00000000">
        <w:rPr>
          <w:color w:val="38761d"/>
          <w:sz w:val="32"/>
          <w:szCs w:val="32"/>
          <w:rtl w:val="0"/>
        </w:rPr>
        <w:t xml:space="preserve">All Head Start parents, caregivers, alumni, staff and supporters are encouraged to join the campaign. The campaign is for everyone.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To learn more go to: </w:t>
      </w:r>
      <w:hyperlink r:id="rId8">
        <w:r w:rsidDel="00000000" w:rsidR="00000000" w:rsidRPr="00000000">
          <w:rPr>
            <w:color w:val="0000ff"/>
            <w:sz w:val="36"/>
            <w:szCs w:val="36"/>
            <w:u w:val="single"/>
            <w:rtl w:val="0"/>
          </w:rPr>
          <w:t xml:space="preserve">www.nhsa.org/parents-unite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://www.nhsa.org/parents-un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